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F" w:rsidRPr="00F24514" w:rsidRDefault="008B37C0" w:rsidP="00F24514">
      <w:pPr>
        <w:pStyle w:val="Citationintense"/>
        <w:rPr>
          <w:sz w:val="40"/>
        </w:rPr>
      </w:pPr>
      <w:r w:rsidRPr="00F24514">
        <w:rPr>
          <w:sz w:val="40"/>
        </w:rPr>
        <w:t>Les supports des élèves à l’école élémentaire</w:t>
      </w:r>
    </w:p>
    <w:p w:rsidR="00AA01A9" w:rsidRPr="00E52110" w:rsidRDefault="000A5400" w:rsidP="00AA01A9">
      <w:pPr>
        <w:jc w:val="both"/>
        <w:rPr>
          <w:sz w:val="24"/>
        </w:rPr>
      </w:pPr>
      <w:r w:rsidRPr="00E52110">
        <w:rPr>
          <w:sz w:val="24"/>
        </w:rPr>
        <w:t>Lors des visites en mission, nous constatons à la fois de fortes disparités de supports d’une class</w:t>
      </w:r>
      <w:r w:rsidR="00216880">
        <w:rPr>
          <w:sz w:val="24"/>
        </w:rPr>
        <w:t>e à l’autre et un</w:t>
      </w:r>
      <w:r w:rsidRPr="00E52110">
        <w:rPr>
          <w:sz w:val="24"/>
        </w:rPr>
        <w:t xml:space="preserve"> </w:t>
      </w:r>
      <w:r w:rsidR="00216880">
        <w:rPr>
          <w:sz w:val="24"/>
        </w:rPr>
        <w:t xml:space="preserve">trop grand </w:t>
      </w:r>
      <w:r w:rsidRPr="00E52110">
        <w:rPr>
          <w:sz w:val="24"/>
        </w:rPr>
        <w:t>nombre de supports pour les traces écrites des élèves. Aussi, p</w:t>
      </w:r>
      <w:r w:rsidR="00AA01A9" w:rsidRPr="00E52110">
        <w:rPr>
          <w:sz w:val="24"/>
        </w:rPr>
        <w:t>our la troisième année consécutive, le bureau de l’</w:t>
      </w:r>
      <w:r w:rsidR="002F261B">
        <w:rPr>
          <w:sz w:val="24"/>
        </w:rPr>
        <w:t xml:space="preserve">inspection réitère le souhait que les équipes pédagogiques harmonisent l’organisation des </w:t>
      </w:r>
      <w:r w:rsidR="00AA01A9" w:rsidRPr="00E52110">
        <w:rPr>
          <w:sz w:val="24"/>
        </w:rPr>
        <w:t xml:space="preserve">cahiers et </w:t>
      </w:r>
      <w:r w:rsidR="002F261B">
        <w:rPr>
          <w:sz w:val="24"/>
        </w:rPr>
        <w:t xml:space="preserve">le choix </w:t>
      </w:r>
      <w:r w:rsidR="00AA01A9" w:rsidRPr="00E52110">
        <w:rPr>
          <w:sz w:val="24"/>
        </w:rPr>
        <w:t>des manuels. Cet effort nécessaire</w:t>
      </w:r>
      <w:r w:rsidR="00354A58" w:rsidRPr="00E52110">
        <w:rPr>
          <w:sz w:val="24"/>
        </w:rPr>
        <w:t xml:space="preserve"> </w:t>
      </w:r>
      <w:r w:rsidR="00AA01A9" w:rsidRPr="00E52110">
        <w:rPr>
          <w:sz w:val="24"/>
        </w:rPr>
        <w:t xml:space="preserve">d’harmonisation des cahiers aide les élèves et les parents à se repérer dans les différents domaines et dans la gestion du matériel scolaire. </w:t>
      </w:r>
      <w:r w:rsidR="002F261B">
        <w:rPr>
          <w:sz w:val="24"/>
        </w:rPr>
        <w:t xml:space="preserve">Cette organisation commune permet de donner aux élèves des repères constants qui faciliteront leur entrée dans les apprentissages, en particulier pour ceux dont les acquis sont les plus fragiles. </w:t>
      </w:r>
      <w:r w:rsidR="00F441F6" w:rsidRPr="00E52110">
        <w:rPr>
          <w:sz w:val="24"/>
        </w:rPr>
        <w:t xml:space="preserve">Outre cet aspect pédagogique, le poids des cartables, la facilité de correction et le coût, sont des éléments à ne pas négliger. </w:t>
      </w:r>
    </w:p>
    <w:p w:rsidR="00C14FEE" w:rsidRDefault="00C14FEE" w:rsidP="00C14FEE">
      <w:pPr>
        <w:jc w:val="both"/>
        <w:rPr>
          <w:sz w:val="24"/>
        </w:rPr>
      </w:pPr>
      <w:r w:rsidRPr="00E52110">
        <w:rPr>
          <w:sz w:val="24"/>
        </w:rPr>
        <w:t>Nous réaffirmons que</w:t>
      </w:r>
      <w:r w:rsidR="00F24514" w:rsidRPr="00E52110">
        <w:rPr>
          <w:sz w:val="24"/>
        </w:rPr>
        <w:t xml:space="preserve">, </w:t>
      </w:r>
      <w:r w:rsidRPr="00E52110">
        <w:rPr>
          <w:sz w:val="24"/>
        </w:rPr>
        <w:t xml:space="preserve">contrairement à la pratique couramment </w:t>
      </w:r>
      <w:r w:rsidR="00F24514" w:rsidRPr="00E52110">
        <w:rPr>
          <w:sz w:val="24"/>
        </w:rPr>
        <w:t>adoptée</w:t>
      </w:r>
      <w:r w:rsidRPr="00E52110">
        <w:rPr>
          <w:sz w:val="24"/>
        </w:rPr>
        <w:t xml:space="preserve">, les cahiers 24x32 </w:t>
      </w:r>
      <w:r w:rsidR="001065FD">
        <w:rPr>
          <w:sz w:val="24"/>
        </w:rPr>
        <w:t>(ou 21x29</w:t>
      </w:r>
      <w:proofErr w:type="gramStart"/>
      <w:r w:rsidR="001065FD">
        <w:rPr>
          <w:sz w:val="24"/>
        </w:rPr>
        <w:t>,7</w:t>
      </w:r>
      <w:proofErr w:type="gramEnd"/>
      <w:r w:rsidR="001065FD">
        <w:rPr>
          <w:sz w:val="24"/>
        </w:rPr>
        <w:t>) ne sont pas les plus</w:t>
      </w:r>
      <w:r w:rsidRPr="00E52110">
        <w:rPr>
          <w:sz w:val="24"/>
        </w:rPr>
        <w:t xml:space="preserve"> adaptés aux élèves de l’école élémentaire. Ils sont trop grands</w:t>
      </w:r>
      <w:r w:rsidR="00315AD8">
        <w:rPr>
          <w:sz w:val="24"/>
        </w:rPr>
        <w:t>, en particulier au cycle 2</w:t>
      </w:r>
      <w:r w:rsidRPr="00E52110">
        <w:rPr>
          <w:sz w:val="24"/>
        </w:rPr>
        <w:t>. L’élève est obligé</w:t>
      </w:r>
      <w:r w:rsidR="001A35D4" w:rsidRPr="00E52110">
        <w:rPr>
          <w:sz w:val="24"/>
        </w:rPr>
        <w:t xml:space="preserve"> d’avoir</w:t>
      </w:r>
      <w:r w:rsidRPr="00E52110">
        <w:rPr>
          <w:sz w:val="24"/>
        </w:rPr>
        <w:t xml:space="preserve"> une position </w:t>
      </w:r>
      <w:r w:rsidR="001A35D4" w:rsidRPr="00E52110">
        <w:rPr>
          <w:sz w:val="24"/>
        </w:rPr>
        <w:t xml:space="preserve">inappropriée et inconfortable </w:t>
      </w:r>
      <w:r w:rsidRPr="00E52110">
        <w:rPr>
          <w:sz w:val="24"/>
        </w:rPr>
        <w:t>pour écrire</w:t>
      </w:r>
      <w:r w:rsidR="001A35D4" w:rsidRPr="00E52110">
        <w:rPr>
          <w:sz w:val="24"/>
        </w:rPr>
        <w:t xml:space="preserve"> (étendre le bras, faire pivoter le cahier, s’allonger sur le bureau)</w:t>
      </w:r>
      <w:r w:rsidRPr="00E52110">
        <w:rPr>
          <w:sz w:val="24"/>
        </w:rPr>
        <w:t xml:space="preserve">. </w:t>
      </w:r>
      <w:r w:rsidR="00F204C8" w:rsidRPr="00E52110">
        <w:rPr>
          <w:sz w:val="24"/>
        </w:rPr>
        <w:t>Il suffit d’observer les élèves en train de les utiliser pour le constater. En outre, vu leur taille, ces cahiers grand format occupent quasiment tout l’espace du bureau de l’élève</w:t>
      </w:r>
      <w:r w:rsidRPr="00E52110">
        <w:rPr>
          <w:sz w:val="24"/>
        </w:rPr>
        <w:t xml:space="preserve"> </w:t>
      </w:r>
      <w:r w:rsidR="00F204C8" w:rsidRPr="00E52110">
        <w:rPr>
          <w:sz w:val="24"/>
        </w:rPr>
        <w:t xml:space="preserve">et gênent l’usage du dictionnaire, de la trousse, des divers documents donnés aux élèves, etc. </w:t>
      </w:r>
      <w:r w:rsidR="001A35D4" w:rsidRPr="00E52110">
        <w:rPr>
          <w:sz w:val="24"/>
        </w:rPr>
        <w:t xml:space="preserve">Pour finir, l’enseignant, fort de l’utilisation de ces supports par </w:t>
      </w:r>
      <w:r w:rsidR="004D543C" w:rsidRPr="00E52110">
        <w:rPr>
          <w:sz w:val="24"/>
        </w:rPr>
        <w:t>l</w:t>
      </w:r>
      <w:r w:rsidR="001A35D4" w:rsidRPr="00E52110">
        <w:rPr>
          <w:sz w:val="24"/>
        </w:rPr>
        <w:t>es élèves</w:t>
      </w:r>
      <w:r w:rsidR="00216880">
        <w:rPr>
          <w:sz w:val="24"/>
        </w:rPr>
        <w:t>,</w:t>
      </w:r>
      <w:r w:rsidR="001A35D4" w:rsidRPr="00E52110">
        <w:rPr>
          <w:sz w:val="24"/>
        </w:rPr>
        <w:t xml:space="preserve"> a</w:t>
      </w:r>
      <w:r w:rsidR="004D543C" w:rsidRPr="00E52110">
        <w:rPr>
          <w:sz w:val="24"/>
        </w:rPr>
        <w:t>urait</w:t>
      </w:r>
      <w:r w:rsidR="001A35D4" w:rsidRPr="00E52110">
        <w:rPr>
          <w:sz w:val="24"/>
        </w:rPr>
        <w:t xml:space="preserve"> tendance à </w:t>
      </w:r>
      <w:r w:rsidR="004D543C" w:rsidRPr="00E52110">
        <w:rPr>
          <w:sz w:val="24"/>
        </w:rPr>
        <w:t>multiplier les</w:t>
      </w:r>
      <w:r w:rsidR="001A35D4" w:rsidRPr="00E52110">
        <w:rPr>
          <w:sz w:val="24"/>
        </w:rPr>
        <w:t xml:space="preserve"> photocopies format A4 collées stricto sensu sur les pages.</w:t>
      </w:r>
    </w:p>
    <w:p w:rsidR="00E52110" w:rsidRPr="00E52110" w:rsidRDefault="00E52110" w:rsidP="00C14FEE">
      <w:pPr>
        <w:jc w:val="both"/>
        <w:rPr>
          <w:sz w:val="24"/>
        </w:rPr>
      </w:pPr>
      <w:r>
        <w:rPr>
          <w:sz w:val="24"/>
        </w:rPr>
        <w:t>Vous trouverez ci-dessous les préconisations</w:t>
      </w:r>
      <w:r w:rsidR="00E84954">
        <w:rPr>
          <w:sz w:val="24"/>
        </w:rPr>
        <w:t xml:space="preserve"> pour les</w:t>
      </w:r>
      <w:r w:rsidR="00AC4695">
        <w:rPr>
          <w:sz w:val="24"/>
        </w:rPr>
        <w:t xml:space="preserve"> cycle</w:t>
      </w:r>
      <w:r w:rsidR="00E84954">
        <w:rPr>
          <w:sz w:val="24"/>
        </w:rPr>
        <w:t>s 2 et 3</w:t>
      </w:r>
      <w:r>
        <w:rPr>
          <w:sz w:val="24"/>
        </w:rPr>
        <w:t xml:space="preserve"> du bureau de l’inspection en ce qui concerne les supports des élèves.</w:t>
      </w:r>
    </w:p>
    <w:p w:rsidR="00274157" w:rsidRPr="00E52110" w:rsidRDefault="00274157">
      <w:pPr>
        <w:rPr>
          <w:sz w:val="24"/>
        </w:rPr>
      </w:pPr>
      <w:r w:rsidRPr="00E52110">
        <w:rPr>
          <w:sz w:val="24"/>
        </w:rPr>
        <w:br w:type="page"/>
      </w:r>
    </w:p>
    <w:p w:rsidR="009958A5" w:rsidRPr="00B148DC" w:rsidRDefault="009958A5" w:rsidP="00EE5558">
      <w:pPr>
        <w:pStyle w:val="Titre"/>
        <w:rPr>
          <w:color w:val="0070C0"/>
          <w:sz w:val="40"/>
        </w:rPr>
      </w:pPr>
      <w:r w:rsidRPr="00B148DC">
        <w:rPr>
          <w:color w:val="0070C0"/>
          <w:sz w:val="40"/>
        </w:rPr>
        <w:lastRenderedPageBreak/>
        <w:t>Au cycle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536"/>
        <w:gridCol w:w="2268"/>
        <w:gridCol w:w="3544"/>
      </w:tblGrid>
      <w:tr w:rsidR="009958A5" w:rsidRPr="00B148DC" w:rsidTr="00B148DC">
        <w:trPr>
          <w:trHeight w:val="55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958A5" w:rsidRPr="00B148DC" w:rsidRDefault="009958A5" w:rsidP="003F0AC2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8DC">
              <w:rPr>
                <w:rFonts w:asciiTheme="majorHAnsi" w:hAnsiTheme="majorHAnsi" w:cstheme="majorHAnsi"/>
                <w:szCs w:val="21"/>
              </w:rPr>
              <w:t>Domaine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958A5" w:rsidRPr="00B148DC" w:rsidRDefault="009958A5" w:rsidP="003F0AC2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8DC">
              <w:rPr>
                <w:rFonts w:asciiTheme="majorHAnsi" w:hAnsiTheme="majorHAnsi" w:cstheme="majorHAnsi"/>
                <w:szCs w:val="21"/>
              </w:rPr>
              <w:t>Sous-domaine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9958A5" w:rsidRPr="00B148DC" w:rsidRDefault="009958A5" w:rsidP="003F0AC2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8DC">
              <w:rPr>
                <w:rFonts w:asciiTheme="majorHAnsi" w:hAnsiTheme="majorHAnsi" w:cstheme="majorHAnsi"/>
                <w:szCs w:val="21"/>
              </w:rPr>
              <w:t>Support préconisé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958A5" w:rsidRPr="00B148DC" w:rsidRDefault="009958A5" w:rsidP="003F0AC2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8DC">
              <w:rPr>
                <w:rFonts w:asciiTheme="majorHAnsi" w:hAnsiTheme="majorHAnsi" w:cstheme="majorHAnsi"/>
                <w:szCs w:val="21"/>
              </w:rPr>
              <w:t>Alternative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9958A5" w:rsidRPr="00B148DC" w:rsidRDefault="009958A5" w:rsidP="003F0AC2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8DC">
              <w:rPr>
                <w:rFonts w:asciiTheme="majorHAnsi" w:hAnsiTheme="majorHAnsi" w:cstheme="majorHAnsi"/>
                <w:szCs w:val="21"/>
              </w:rPr>
              <w:t>Remarques</w:t>
            </w:r>
          </w:p>
        </w:tc>
      </w:tr>
      <w:tr w:rsidR="002B26DA" w:rsidRPr="00EC002B" w:rsidTr="00B148DC">
        <w:tc>
          <w:tcPr>
            <w:tcW w:w="1980" w:type="dxa"/>
            <w:vAlign w:val="center"/>
          </w:tcPr>
          <w:p w:rsidR="002B26DA" w:rsidRPr="00EC002B" w:rsidRDefault="002B26DA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Toutes disciplines</w:t>
            </w:r>
          </w:p>
        </w:tc>
        <w:tc>
          <w:tcPr>
            <w:tcW w:w="2835" w:type="dxa"/>
            <w:vAlign w:val="center"/>
          </w:tcPr>
          <w:p w:rsidR="002B26DA" w:rsidRPr="00EC002B" w:rsidRDefault="002B26DA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2B26DA" w:rsidRPr="00EC002B" w:rsidRDefault="002B26DA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Cahier de brouillon</w:t>
            </w:r>
          </w:p>
        </w:tc>
        <w:tc>
          <w:tcPr>
            <w:tcW w:w="2268" w:type="dxa"/>
            <w:vAlign w:val="center"/>
          </w:tcPr>
          <w:p w:rsidR="002B26DA" w:rsidRPr="0090679F" w:rsidRDefault="002F261B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Ardoise quand la quantité d’écrits est limitée</w:t>
            </w:r>
          </w:p>
        </w:tc>
        <w:tc>
          <w:tcPr>
            <w:tcW w:w="3544" w:type="dxa"/>
            <w:vAlign w:val="center"/>
          </w:tcPr>
          <w:p w:rsidR="002B26DA" w:rsidRPr="0090679F" w:rsidRDefault="002B26DA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C’est l’outil indispensable pour les essais, les recherches</w:t>
            </w:r>
            <w:r w:rsidR="004D543C" w:rsidRPr="0090679F">
              <w:rPr>
                <w:rFonts w:asciiTheme="majorHAnsi" w:hAnsiTheme="majorHAnsi" w:cstheme="majorHAnsi"/>
                <w:sz w:val="21"/>
                <w:szCs w:val="21"/>
              </w:rPr>
              <w:t>, …</w:t>
            </w:r>
          </w:p>
        </w:tc>
      </w:tr>
      <w:tr w:rsidR="00B148DC" w:rsidRPr="00EC002B" w:rsidTr="00B148DC">
        <w:tc>
          <w:tcPr>
            <w:tcW w:w="1980" w:type="dxa"/>
            <w:vMerge w:val="restart"/>
            <w:vAlign w:val="center"/>
          </w:tcPr>
          <w:p w:rsidR="00B148DC" w:rsidRPr="00EC002B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Français</w:t>
            </w:r>
          </w:p>
        </w:tc>
        <w:tc>
          <w:tcPr>
            <w:tcW w:w="2835" w:type="dxa"/>
            <w:vAlign w:val="center"/>
          </w:tcPr>
          <w:p w:rsidR="00B148DC" w:rsidRPr="00EC002B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Lire, dire (tous sous-domaines associés)</w:t>
            </w:r>
          </w:p>
        </w:tc>
        <w:tc>
          <w:tcPr>
            <w:tcW w:w="4536" w:type="dxa"/>
            <w:vAlign w:val="center"/>
          </w:tcPr>
          <w:p w:rsidR="00B148DC" w:rsidRPr="00EC002B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Cahier petit format</w:t>
            </w:r>
          </w:p>
        </w:tc>
        <w:tc>
          <w:tcPr>
            <w:tcW w:w="2268" w:type="dxa"/>
            <w:vAlign w:val="center"/>
          </w:tcPr>
          <w:p w:rsidR="00B148DC" w:rsidRPr="0090679F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Porte-vues pour les textes de lecture</w:t>
            </w:r>
          </w:p>
        </w:tc>
        <w:tc>
          <w:tcPr>
            <w:tcW w:w="3544" w:type="dxa"/>
            <w:vAlign w:val="center"/>
          </w:tcPr>
          <w:p w:rsidR="00B148DC" w:rsidRPr="0090679F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148DC" w:rsidRPr="00EC002B" w:rsidTr="00B148DC">
        <w:tc>
          <w:tcPr>
            <w:tcW w:w="1980" w:type="dxa"/>
            <w:vMerge/>
            <w:vAlign w:val="center"/>
          </w:tcPr>
          <w:p w:rsidR="00B148DC" w:rsidRPr="00EC002B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148DC" w:rsidRPr="00EC002B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Écriture (graphisme)</w:t>
            </w:r>
          </w:p>
        </w:tc>
        <w:tc>
          <w:tcPr>
            <w:tcW w:w="4536" w:type="dxa"/>
            <w:vAlign w:val="center"/>
          </w:tcPr>
          <w:p w:rsidR="00B148DC" w:rsidRPr="00EC002B" w:rsidRDefault="00B148DC" w:rsidP="002F261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Cahier d’écriture spécifique avec interlignes (CP et CE1)</w:t>
            </w:r>
          </w:p>
        </w:tc>
        <w:tc>
          <w:tcPr>
            <w:tcW w:w="2268" w:type="dxa"/>
            <w:vAlign w:val="center"/>
          </w:tcPr>
          <w:p w:rsidR="00B148DC" w:rsidRPr="0090679F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Support spécifique éditeur adapté</w:t>
            </w:r>
          </w:p>
        </w:tc>
        <w:tc>
          <w:tcPr>
            <w:tcW w:w="3544" w:type="dxa"/>
            <w:vAlign w:val="center"/>
          </w:tcPr>
          <w:p w:rsidR="00B148DC" w:rsidRPr="0090679F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148DC" w:rsidRPr="00EC002B" w:rsidTr="00B148DC">
        <w:trPr>
          <w:trHeight w:val="336"/>
        </w:trPr>
        <w:tc>
          <w:tcPr>
            <w:tcW w:w="1980" w:type="dxa"/>
            <w:vMerge/>
            <w:vAlign w:val="center"/>
          </w:tcPr>
          <w:p w:rsidR="00B148DC" w:rsidRPr="00EC002B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148DC" w:rsidRPr="00EC002B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Écriture (production)</w:t>
            </w:r>
          </w:p>
        </w:tc>
        <w:tc>
          <w:tcPr>
            <w:tcW w:w="4536" w:type="dxa"/>
            <w:vAlign w:val="center"/>
          </w:tcPr>
          <w:p w:rsidR="00B148DC" w:rsidRPr="00EC002B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Brouillon + cahier du jour</w:t>
            </w:r>
          </w:p>
          <w:p w:rsidR="00B148DC" w:rsidRPr="00EC002B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 xml:space="preserve">ou cahier d’écriture avec onglets en CE </w:t>
            </w:r>
            <w:r w:rsidRPr="00B148DC">
              <w:rPr>
                <w:rFonts w:asciiTheme="majorHAnsi" w:hAnsiTheme="majorHAnsi" w:cstheme="majorHAnsi"/>
                <w:sz w:val="20"/>
                <w:szCs w:val="21"/>
              </w:rPr>
              <w:t>(écrits courts, écrits longs, dictée, phrase du jour, orthographe lexicale)</w:t>
            </w:r>
          </w:p>
        </w:tc>
        <w:tc>
          <w:tcPr>
            <w:tcW w:w="2268" w:type="dxa"/>
            <w:vAlign w:val="center"/>
          </w:tcPr>
          <w:p w:rsidR="00B148DC" w:rsidRPr="0090679F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Cahier d’écrivain</w:t>
            </w:r>
          </w:p>
        </w:tc>
        <w:tc>
          <w:tcPr>
            <w:tcW w:w="3544" w:type="dxa"/>
            <w:vAlign w:val="center"/>
          </w:tcPr>
          <w:p w:rsidR="00B148DC" w:rsidRPr="0090679F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148DC" w:rsidRPr="00EC002B" w:rsidTr="00B148DC">
        <w:tc>
          <w:tcPr>
            <w:tcW w:w="1980" w:type="dxa"/>
            <w:vMerge/>
            <w:vAlign w:val="center"/>
          </w:tcPr>
          <w:p w:rsidR="00B148DC" w:rsidRPr="00EC002B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148DC" w:rsidRPr="00EC002B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 xml:space="preserve">Étude de la langue </w:t>
            </w:r>
          </w:p>
          <w:p w:rsidR="00B148DC" w:rsidRPr="00EC002B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(tous sous-domaines)</w:t>
            </w:r>
          </w:p>
        </w:tc>
        <w:tc>
          <w:tcPr>
            <w:tcW w:w="4536" w:type="dxa"/>
            <w:vAlign w:val="center"/>
          </w:tcPr>
          <w:p w:rsidR="00B148DC" w:rsidRPr="00EC002B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Cahier de brouillon et cahier du jour pour exercices</w:t>
            </w:r>
          </w:p>
        </w:tc>
        <w:tc>
          <w:tcPr>
            <w:tcW w:w="2268" w:type="dxa"/>
            <w:vAlign w:val="center"/>
          </w:tcPr>
          <w:p w:rsidR="00B148DC" w:rsidRPr="0090679F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Cahier de règles en complément pour les leçons si besoin</w:t>
            </w:r>
          </w:p>
        </w:tc>
        <w:tc>
          <w:tcPr>
            <w:tcW w:w="3544" w:type="dxa"/>
            <w:vAlign w:val="center"/>
          </w:tcPr>
          <w:p w:rsidR="00B148DC" w:rsidRPr="0090679F" w:rsidRDefault="00B148DC" w:rsidP="002358C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Les règles peuvent tout à fait figurer sur le cahier du jour.</w:t>
            </w:r>
          </w:p>
        </w:tc>
      </w:tr>
      <w:tr w:rsidR="00B148DC" w:rsidRPr="00EC002B" w:rsidTr="00B148DC">
        <w:trPr>
          <w:trHeight w:val="375"/>
        </w:trPr>
        <w:tc>
          <w:tcPr>
            <w:tcW w:w="1980" w:type="dxa"/>
            <w:vMerge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Vocabulaire et orthographe lexicale</w:t>
            </w:r>
          </w:p>
        </w:tc>
        <w:tc>
          <w:tcPr>
            <w:tcW w:w="4536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Carnet de mots</w:t>
            </w:r>
          </w:p>
        </w:tc>
        <w:tc>
          <w:tcPr>
            <w:tcW w:w="2268" w:type="dxa"/>
            <w:vAlign w:val="center"/>
          </w:tcPr>
          <w:p w:rsidR="00B148DC" w:rsidRPr="0090679F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//</w:t>
            </w:r>
          </w:p>
        </w:tc>
        <w:tc>
          <w:tcPr>
            <w:tcW w:w="3544" w:type="dxa"/>
            <w:vAlign w:val="center"/>
          </w:tcPr>
          <w:p w:rsidR="00B148DC" w:rsidRPr="0090679F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A partir du CE1</w:t>
            </w:r>
          </w:p>
        </w:tc>
      </w:tr>
      <w:tr w:rsidR="00B148DC" w:rsidRPr="00EC002B" w:rsidTr="00B148DC">
        <w:trPr>
          <w:trHeight w:val="375"/>
        </w:trPr>
        <w:tc>
          <w:tcPr>
            <w:tcW w:w="1980" w:type="dxa"/>
            <w:vMerge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Poésie, chants</w:t>
            </w:r>
          </w:p>
        </w:tc>
        <w:tc>
          <w:tcPr>
            <w:tcW w:w="4536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Cahier de TP petit format</w:t>
            </w:r>
          </w:p>
        </w:tc>
        <w:tc>
          <w:tcPr>
            <w:tcW w:w="2268" w:type="dxa"/>
            <w:vAlign w:val="center"/>
          </w:tcPr>
          <w:p w:rsidR="00B148DC" w:rsidRPr="0090679F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//</w:t>
            </w:r>
          </w:p>
        </w:tc>
        <w:tc>
          <w:tcPr>
            <w:tcW w:w="3544" w:type="dxa"/>
            <w:vAlign w:val="center"/>
          </w:tcPr>
          <w:p w:rsidR="00B148DC" w:rsidRPr="0090679F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148DC" w:rsidRPr="00EC002B" w:rsidTr="00B148DC">
        <w:tc>
          <w:tcPr>
            <w:tcW w:w="1980" w:type="dxa"/>
            <w:vMerge w:val="restart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Mathématiques</w:t>
            </w:r>
          </w:p>
        </w:tc>
        <w:tc>
          <w:tcPr>
            <w:tcW w:w="2835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Numération, calcul, espace et géométrie</w:t>
            </w:r>
          </w:p>
        </w:tc>
        <w:tc>
          <w:tcPr>
            <w:tcW w:w="4536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Cahier de brouillon et cahier du jour petit format en complément du fichier</w:t>
            </w:r>
          </w:p>
        </w:tc>
        <w:tc>
          <w:tcPr>
            <w:tcW w:w="2268" w:type="dxa"/>
            <w:vAlign w:val="center"/>
          </w:tcPr>
          <w:p w:rsidR="00B148DC" w:rsidRPr="0090679F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//</w:t>
            </w:r>
          </w:p>
        </w:tc>
        <w:tc>
          <w:tcPr>
            <w:tcW w:w="3544" w:type="dxa"/>
            <w:vAlign w:val="center"/>
          </w:tcPr>
          <w:p w:rsidR="00B148DC" w:rsidRPr="0090679F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 xml:space="preserve">La résolution de problème intervient dans tous les sous-domaines. Ce n’est pas un sous-domaine à part. </w:t>
            </w:r>
          </w:p>
        </w:tc>
      </w:tr>
      <w:tr w:rsidR="00B148DC" w:rsidRPr="00EC002B" w:rsidTr="00B148DC">
        <w:trPr>
          <w:trHeight w:val="453"/>
        </w:trPr>
        <w:tc>
          <w:tcPr>
            <w:tcW w:w="1980" w:type="dxa"/>
            <w:vMerge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Numération</w:t>
            </w:r>
          </w:p>
        </w:tc>
        <w:tc>
          <w:tcPr>
            <w:tcW w:w="4536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Cahier du nombre petit format</w:t>
            </w:r>
          </w:p>
        </w:tc>
        <w:tc>
          <w:tcPr>
            <w:tcW w:w="2268" w:type="dxa"/>
            <w:vAlign w:val="center"/>
          </w:tcPr>
          <w:p w:rsidR="00B148DC" w:rsidRPr="0090679F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//</w:t>
            </w:r>
          </w:p>
        </w:tc>
        <w:tc>
          <w:tcPr>
            <w:tcW w:w="3544" w:type="dxa"/>
            <w:vAlign w:val="center"/>
          </w:tcPr>
          <w:p w:rsidR="00B148DC" w:rsidRPr="0090679F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Facultatif : si harmonisé CP-CE1</w:t>
            </w:r>
          </w:p>
        </w:tc>
      </w:tr>
      <w:tr w:rsidR="00B148DC" w:rsidRPr="00EC002B" w:rsidTr="00B148DC">
        <w:trPr>
          <w:trHeight w:val="426"/>
        </w:trPr>
        <w:tc>
          <w:tcPr>
            <w:tcW w:w="1980" w:type="dxa"/>
            <w:vMerge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Calcul mental</w:t>
            </w:r>
          </w:p>
        </w:tc>
        <w:tc>
          <w:tcPr>
            <w:tcW w:w="4536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Ardoise + procédures à institutionnaliser sur le cahier du jour ou le cahier de règles</w:t>
            </w:r>
          </w:p>
        </w:tc>
        <w:tc>
          <w:tcPr>
            <w:tcW w:w="2268" w:type="dxa"/>
            <w:vAlign w:val="center"/>
          </w:tcPr>
          <w:p w:rsidR="00B148DC" w:rsidRPr="0090679F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//</w:t>
            </w:r>
          </w:p>
        </w:tc>
        <w:tc>
          <w:tcPr>
            <w:tcW w:w="3544" w:type="dxa"/>
            <w:vAlign w:val="center"/>
          </w:tcPr>
          <w:p w:rsidR="00B148DC" w:rsidRPr="0090679F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148DC" w:rsidRPr="00EC002B" w:rsidTr="00B148DC">
        <w:trPr>
          <w:trHeight w:val="480"/>
        </w:trPr>
        <w:tc>
          <w:tcPr>
            <w:tcW w:w="1980" w:type="dxa"/>
            <w:vMerge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Calcul en ligne</w:t>
            </w:r>
          </w:p>
        </w:tc>
        <w:tc>
          <w:tcPr>
            <w:tcW w:w="4536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Cahier de brouillon et cahier du jour</w:t>
            </w:r>
          </w:p>
        </w:tc>
        <w:tc>
          <w:tcPr>
            <w:tcW w:w="2268" w:type="dxa"/>
            <w:vAlign w:val="center"/>
          </w:tcPr>
          <w:p w:rsidR="00B148DC" w:rsidRPr="0090679F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//</w:t>
            </w:r>
          </w:p>
        </w:tc>
        <w:tc>
          <w:tcPr>
            <w:tcW w:w="3544" w:type="dxa"/>
            <w:vAlign w:val="center"/>
          </w:tcPr>
          <w:p w:rsidR="00B148DC" w:rsidRPr="0090679F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Plus pratique que l’ardoise</w:t>
            </w:r>
          </w:p>
        </w:tc>
      </w:tr>
      <w:tr w:rsidR="00B148DC" w:rsidRPr="00EC002B" w:rsidTr="00B148DC">
        <w:tc>
          <w:tcPr>
            <w:tcW w:w="1980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Enseignements artistiques</w:t>
            </w:r>
          </w:p>
        </w:tc>
        <w:tc>
          <w:tcPr>
            <w:tcW w:w="2835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Tous</w:t>
            </w:r>
          </w:p>
        </w:tc>
        <w:tc>
          <w:tcPr>
            <w:tcW w:w="4536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Cahier des arts (petit format TP) ou porte-vues</w:t>
            </w:r>
          </w:p>
        </w:tc>
        <w:tc>
          <w:tcPr>
            <w:tcW w:w="2268" w:type="dxa"/>
            <w:vAlign w:val="center"/>
          </w:tcPr>
          <w:p w:rsidR="00B148DC" w:rsidRPr="0090679F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Portfolio PEAC</w:t>
            </w:r>
          </w:p>
        </w:tc>
        <w:tc>
          <w:tcPr>
            <w:tcW w:w="3544" w:type="dxa"/>
            <w:vAlign w:val="center"/>
          </w:tcPr>
          <w:p w:rsidR="00B148DC" w:rsidRPr="0090679F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148DC" w:rsidRPr="00EC002B" w:rsidTr="00B148DC">
        <w:tc>
          <w:tcPr>
            <w:tcW w:w="1980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QLM</w:t>
            </w:r>
          </w:p>
        </w:tc>
        <w:tc>
          <w:tcPr>
            <w:tcW w:w="2835" w:type="dxa"/>
            <w:vMerge w:val="restart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Tous</w:t>
            </w:r>
          </w:p>
        </w:tc>
        <w:tc>
          <w:tcPr>
            <w:tcW w:w="4536" w:type="dxa"/>
            <w:vMerge w:val="restart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Cahier de TP petit format</w:t>
            </w:r>
          </w:p>
        </w:tc>
        <w:tc>
          <w:tcPr>
            <w:tcW w:w="2268" w:type="dxa"/>
            <w:vMerge w:val="restart"/>
            <w:vAlign w:val="center"/>
          </w:tcPr>
          <w:p w:rsidR="00B148DC" w:rsidRPr="0090679F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Petit classeur avec intercalaires (CE2)</w:t>
            </w:r>
          </w:p>
        </w:tc>
        <w:tc>
          <w:tcPr>
            <w:tcW w:w="3544" w:type="dxa"/>
            <w:vMerge w:val="restart"/>
            <w:vAlign w:val="center"/>
          </w:tcPr>
          <w:p w:rsidR="00B148DC" w:rsidRPr="0090679F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148DC" w:rsidRPr="00EC002B" w:rsidTr="00B148DC">
        <w:tc>
          <w:tcPr>
            <w:tcW w:w="1980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EMC</w:t>
            </w:r>
          </w:p>
        </w:tc>
        <w:tc>
          <w:tcPr>
            <w:tcW w:w="2835" w:type="dxa"/>
            <w:vMerge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536" w:type="dxa"/>
            <w:vMerge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B148DC" w:rsidRPr="0090679F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:rsidR="00B148DC" w:rsidRPr="0090679F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148DC" w:rsidRPr="00EC002B" w:rsidTr="00B148DC">
        <w:tc>
          <w:tcPr>
            <w:tcW w:w="1980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Langues vivantes étrangères</w:t>
            </w:r>
          </w:p>
        </w:tc>
        <w:tc>
          <w:tcPr>
            <w:tcW w:w="2835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Cahier petit format et des contenus dans la logique du cahier de vie en maternelle</w:t>
            </w:r>
          </w:p>
        </w:tc>
        <w:tc>
          <w:tcPr>
            <w:tcW w:w="2268" w:type="dxa"/>
            <w:vAlign w:val="center"/>
          </w:tcPr>
          <w:p w:rsidR="00B148DC" w:rsidRPr="0090679F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 xml:space="preserve">Site en ligne du type </w:t>
            </w:r>
            <w:proofErr w:type="spellStart"/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Padlet</w:t>
            </w:r>
            <w:proofErr w:type="spellEnd"/>
          </w:p>
        </w:tc>
        <w:tc>
          <w:tcPr>
            <w:tcW w:w="3544" w:type="dxa"/>
            <w:vAlign w:val="center"/>
          </w:tcPr>
          <w:p w:rsidR="00B148DC" w:rsidRPr="0090679F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Eviter la juxtaposition de fiches polycopiées</w:t>
            </w:r>
          </w:p>
        </w:tc>
      </w:tr>
      <w:tr w:rsidR="00B148DC" w:rsidRPr="00EC002B" w:rsidTr="00B148DC">
        <w:tc>
          <w:tcPr>
            <w:tcW w:w="1980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EMILE</w:t>
            </w:r>
          </w:p>
        </w:tc>
        <w:tc>
          <w:tcPr>
            <w:tcW w:w="7371" w:type="dxa"/>
            <w:gridSpan w:val="2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Le même support que celui utilisé en français</w:t>
            </w:r>
          </w:p>
        </w:tc>
        <w:tc>
          <w:tcPr>
            <w:tcW w:w="2268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0"/>
                <w:szCs w:val="21"/>
              </w:rPr>
            </w:pPr>
            <w:r w:rsidRPr="00B148DC">
              <w:rPr>
                <w:rFonts w:asciiTheme="majorHAnsi" w:hAnsiTheme="majorHAnsi" w:cstheme="majorHAnsi"/>
                <w:sz w:val="20"/>
                <w:szCs w:val="21"/>
              </w:rPr>
              <w:t>Nécessité de continuité des progressions et des apprentissages</w:t>
            </w:r>
          </w:p>
        </w:tc>
      </w:tr>
      <w:tr w:rsidR="00B148DC" w:rsidRPr="00EC002B" w:rsidTr="00B148DC">
        <w:trPr>
          <w:trHeight w:val="482"/>
        </w:trPr>
        <w:tc>
          <w:tcPr>
            <w:tcW w:w="4815" w:type="dxa"/>
            <w:gridSpan w:val="2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b/>
                <w:sz w:val="21"/>
                <w:szCs w:val="21"/>
              </w:rPr>
              <w:t>NOMBRE MAXIMUM DE SUPPORTS</w:t>
            </w:r>
          </w:p>
        </w:tc>
        <w:tc>
          <w:tcPr>
            <w:tcW w:w="4536" w:type="dxa"/>
            <w:vAlign w:val="center"/>
          </w:tcPr>
          <w:p w:rsidR="00B148DC" w:rsidRPr="00EC002B" w:rsidRDefault="00B148DC" w:rsidP="00B148DC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0"/>
                <w:szCs w:val="21"/>
              </w:rPr>
            </w:pPr>
          </w:p>
        </w:tc>
      </w:tr>
    </w:tbl>
    <w:p w:rsidR="00D547D0" w:rsidRPr="00B148DC" w:rsidRDefault="00D547D0" w:rsidP="00D547D0">
      <w:pPr>
        <w:pStyle w:val="Titre"/>
        <w:rPr>
          <w:color w:val="0070C0"/>
          <w:sz w:val="40"/>
        </w:rPr>
      </w:pPr>
      <w:r w:rsidRPr="00B148DC">
        <w:rPr>
          <w:color w:val="0070C0"/>
          <w:sz w:val="40"/>
        </w:rPr>
        <w:lastRenderedPageBreak/>
        <w:t>Au cycle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536"/>
        <w:gridCol w:w="2268"/>
        <w:gridCol w:w="3402"/>
      </w:tblGrid>
      <w:tr w:rsidR="00D547D0" w:rsidRPr="00B148DC" w:rsidTr="0090679F">
        <w:trPr>
          <w:trHeight w:val="55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547D0" w:rsidRPr="00B148DC" w:rsidRDefault="00D547D0" w:rsidP="001065FD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8DC">
              <w:rPr>
                <w:rFonts w:asciiTheme="majorHAnsi" w:hAnsiTheme="majorHAnsi" w:cstheme="majorHAnsi"/>
                <w:szCs w:val="21"/>
              </w:rPr>
              <w:t>Domaine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547D0" w:rsidRPr="00B148DC" w:rsidRDefault="00D547D0" w:rsidP="001065FD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8DC">
              <w:rPr>
                <w:rFonts w:asciiTheme="majorHAnsi" w:hAnsiTheme="majorHAnsi" w:cstheme="majorHAnsi"/>
                <w:szCs w:val="21"/>
              </w:rPr>
              <w:t>Sous-domaine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547D0" w:rsidRPr="00B148DC" w:rsidRDefault="00D547D0" w:rsidP="001065FD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8DC">
              <w:rPr>
                <w:rFonts w:asciiTheme="majorHAnsi" w:hAnsiTheme="majorHAnsi" w:cstheme="majorHAnsi"/>
                <w:szCs w:val="21"/>
              </w:rPr>
              <w:t>Support préconisé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547D0" w:rsidRPr="00B148DC" w:rsidRDefault="00D547D0" w:rsidP="001065FD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8DC">
              <w:rPr>
                <w:rFonts w:asciiTheme="majorHAnsi" w:hAnsiTheme="majorHAnsi" w:cstheme="majorHAnsi"/>
                <w:szCs w:val="21"/>
              </w:rPr>
              <w:t>Alternative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547D0" w:rsidRPr="00B148DC" w:rsidRDefault="00D547D0" w:rsidP="001065FD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B148DC">
              <w:rPr>
                <w:rFonts w:asciiTheme="majorHAnsi" w:hAnsiTheme="majorHAnsi" w:cstheme="majorHAnsi"/>
                <w:szCs w:val="21"/>
              </w:rPr>
              <w:t>Remarques</w:t>
            </w:r>
          </w:p>
        </w:tc>
      </w:tr>
      <w:tr w:rsidR="00D547D0" w:rsidRPr="00B148DC" w:rsidTr="0090679F">
        <w:tc>
          <w:tcPr>
            <w:tcW w:w="1980" w:type="dxa"/>
            <w:vAlign w:val="center"/>
          </w:tcPr>
          <w:p w:rsidR="00D547D0" w:rsidRPr="00B148DC" w:rsidRDefault="00D547D0" w:rsidP="00D568D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Toutes disciplines</w:t>
            </w:r>
          </w:p>
        </w:tc>
        <w:tc>
          <w:tcPr>
            <w:tcW w:w="2835" w:type="dxa"/>
            <w:vAlign w:val="center"/>
          </w:tcPr>
          <w:p w:rsidR="00D547D0" w:rsidRPr="00B148DC" w:rsidRDefault="00D547D0" w:rsidP="00D568D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D547D0" w:rsidRPr="00B148DC" w:rsidRDefault="00D547D0" w:rsidP="00D568D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Cahier de brouillon</w:t>
            </w:r>
          </w:p>
        </w:tc>
        <w:tc>
          <w:tcPr>
            <w:tcW w:w="2268" w:type="dxa"/>
            <w:vAlign w:val="center"/>
          </w:tcPr>
          <w:p w:rsidR="00D547D0" w:rsidRPr="00B148DC" w:rsidRDefault="001065FD" w:rsidP="001065F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Ardoise quand la quantité d’écrits est limitée</w:t>
            </w:r>
          </w:p>
        </w:tc>
        <w:tc>
          <w:tcPr>
            <w:tcW w:w="3402" w:type="dxa"/>
            <w:vAlign w:val="center"/>
          </w:tcPr>
          <w:p w:rsidR="00D547D0" w:rsidRPr="00B148DC" w:rsidRDefault="00D547D0" w:rsidP="00D568D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C’est l’outil indispensable pour les essais, les recherches, …</w:t>
            </w:r>
          </w:p>
        </w:tc>
      </w:tr>
      <w:tr w:rsidR="00B148DC" w:rsidRPr="00B148DC" w:rsidTr="0090679F">
        <w:tc>
          <w:tcPr>
            <w:tcW w:w="1980" w:type="dxa"/>
            <w:vMerge w:val="restart"/>
            <w:vAlign w:val="center"/>
          </w:tcPr>
          <w:p w:rsidR="00B148DC" w:rsidRPr="00B148DC" w:rsidRDefault="00B148DC" w:rsidP="00D568D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Français</w:t>
            </w:r>
          </w:p>
        </w:tc>
        <w:tc>
          <w:tcPr>
            <w:tcW w:w="2835" w:type="dxa"/>
            <w:vAlign w:val="center"/>
          </w:tcPr>
          <w:p w:rsidR="00B148DC" w:rsidRPr="00B148DC" w:rsidRDefault="00B148DC" w:rsidP="00D568D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Lire, dire (tous sous-domaines associés)</w:t>
            </w:r>
          </w:p>
        </w:tc>
        <w:tc>
          <w:tcPr>
            <w:tcW w:w="4536" w:type="dxa"/>
            <w:vAlign w:val="center"/>
          </w:tcPr>
          <w:p w:rsidR="00B148DC" w:rsidRPr="00B148DC" w:rsidRDefault="00B148DC" w:rsidP="00D568D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Cahier petit format</w:t>
            </w:r>
          </w:p>
        </w:tc>
        <w:tc>
          <w:tcPr>
            <w:tcW w:w="2268" w:type="dxa"/>
            <w:vAlign w:val="center"/>
          </w:tcPr>
          <w:p w:rsidR="00B148DC" w:rsidRPr="00B148DC" w:rsidRDefault="00B148DC" w:rsidP="00D568D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Porte-vues pour les textes de lecture</w:t>
            </w:r>
          </w:p>
        </w:tc>
        <w:tc>
          <w:tcPr>
            <w:tcW w:w="3402" w:type="dxa"/>
            <w:vAlign w:val="center"/>
          </w:tcPr>
          <w:p w:rsidR="00B148DC" w:rsidRPr="00B148DC" w:rsidRDefault="00B148DC" w:rsidP="00D568D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148DC" w:rsidRPr="00B148DC" w:rsidTr="0090679F">
        <w:trPr>
          <w:trHeight w:val="464"/>
        </w:trPr>
        <w:tc>
          <w:tcPr>
            <w:tcW w:w="1980" w:type="dxa"/>
            <w:vMerge/>
            <w:vAlign w:val="center"/>
          </w:tcPr>
          <w:p w:rsidR="00B148DC" w:rsidRPr="00B148DC" w:rsidRDefault="00B148DC" w:rsidP="00D568D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148DC" w:rsidRPr="00B148DC" w:rsidRDefault="00B148DC" w:rsidP="00D568D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Écriture (production)</w:t>
            </w:r>
          </w:p>
        </w:tc>
        <w:tc>
          <w:tcPr>
            <w:tcW w:w="4536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Cahier de b</w:t>
            </w: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 xml:space="preserve">rouillon + </w:t>
            </w: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cahier d’écriture avec onglets en CE (écrits courts, écrit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s longs, dictée, phrase du jour</w:t>
            </w: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B148DC" w:rsidRPr="00B148DC" w:rsidRDefault="00B148DC" w:rsidP="00D568D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Cahier d’écrivain</w:t>
            </w:r>
          </w:p>
        </w:tc>
        <w:tc>
          <w:tcPr>
            <w:tcW w:w="3402" w:type="dxa"/>
            <w:vAlign w:val="center"/>
          </w:tcPr>
          <w:p w:rsidR="00B148DC" w:rsidRPr="00B148DC" w:rsidRDefault="00B148DC" w:rsidP="00D568D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148DC" w:rsidRPr="00B148DC" w:rsidTr="0090679F">
        <w:tc>
          <w:tcPr>
            <w:tcW w:w="1980" w:type="dxa"/>
            <w:vMerge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 xml:space="preserve">Étude de la langue </w:t>
            </w:r>
          </w:p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(tous sous-domaines)</w:t>
            </w:r>
          </w:p>
        </w:tc>
        <w:tc>
          <w:tcPr>
            <w:tcW w:w="4536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Cahier de brouillon et cahier du jour pour exercices</w:t>
            </w:r>
          </w:p>
        </w:tc>
        <w:tc>
          <w:tcPr>
            <w:tcW w:w="2268" w:type="dxa"/>
            <w:vAlign w:val="center"/>
          </w:tcPr>
          <w:p w:rsidR="00B148DC" w:rsidRPr="00EC002B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Cahier de règles en complément pour les leçons si besoin</w:t>
            </w:r>
          </w:p>
        </w:tc>
        <w:tc>
          <w:tcPr>
            <w:tcW w:w="3402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Les règles peuvent tout à fait figurer sur le cahier du jour.</w:t>
            </w:r>
          </w:p>
        </w:tc>
      </w:tr>
      <w:tr w:rsidR="00B148DC" w:rsidRPr="00B148DC" w:rsidTr="0090679F">
        <w:trPr>
          <w:trHeight w:val="383"/>
        </w:trPr>
        <w:tc>
          <w:tcPr>
            <w:tcW w:w="1980" w:type="dxa"/>
            <w:vMerge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148DC" w:rsidRPr="00B148DC" w:rsidTr="0090679F">
        <w:trPr>
          <w:trHeight w:val="382"/>
        </w:trPr>
        <w:tc>
          <w:tcPr>
            <w:tcW w:w="1980" w:type="dxa"/>
            <w:vMerge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Poésie, chants</w:t>
            </w:r>
          </w:p>
        </w:tc>
        <w:tc>
          <w:tcPr>
            <w:tcW w:w="4536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Cahier de TP petit format</w:t>
            </w:r>
          </w:p>
        </w:tc>
        <w:tc>
          <w:tcPr>
            <w:tcW w:w="2268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//</w:t>
            </w:r>
          </w:p>
        </w:tc>
        <w:tc>
          <w:tcPr>
            <w:tcW w:w="3402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148DC" w:rsidRPr="00B148DC" w:rsidTr="0090679F">
        <w:tc>
          <w:tcPr>
            <w:tcW w:w="1980" w:type="dxa"/>
            <w:vMerge w:val="restart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Mathématiques</w:t>
            </w:r>
          </w:p>
        </w:tc>
        <w:tc>
          <w:tcPr>
            <w:tcW w:w="2835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Numération, calcul, espace et géométrie</w:t>
            </w:r>
          </w:p>
        </w:tc>
        <w:tc>
          <w:tcPr>
            <w:tcW w:w="4536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Cahier du jour petit format</w:t>
            </w:r>
          </w:p>
        </w:tc>
        <w:tc>
          <w:tcPr>
            <w:tcW w:w="2268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//</w:t>
            </w:r>
          </w:p>
        </w:tc>
        <w:tc>
          <w:tcPr>
            <w:tcW w:w="3402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 xml:space="preserve">La résolution de problème intervient dans tous les sous-domaines. Ce n’est pas un sous-domaine à part. </w:t>
            </w:r>
          </w:p>
        </w:tc>
      </w:tr>
      <w:tr w:rsidR="00B148DC" w:rsidRPr="00B148DC" w:rsidTr="0090679F">
        <w:trPr>
          <w:trHeight w:val="378"/>
        </w:trPr>
        <w:tc>
          <w:tcPr>
            <w:tcW w:w="1980" w:type="dxa"/>
            <w:vMerge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Calcul mental</w:t>
            </w:r>
          </w:p>
        </w:tc>
        <w:tc>
          <w:tcPr>
            <w:tcW w:w="4536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Ardoise + cahier du jour</w:t>
            </w:r>
          </w:p>
        </w:tc>
        <w:tc>
          <w:tcPr>
            <w:tcW w:w="2268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//</w:t>
            </w:r>
          </w:p>
        </w:tc>
        <w:tc>
          <w:tcPr>
            <w:tcW w:w="3402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Trace des procédures sur CJ</w:t>
            </w:r>
            <w:r w:rsidR="00170966">
              <w:rPr>
                <w:rFonts w:asciiTheme="majorHAnsi" w:hAnsiTheme="majorHAnsi" w:cstheme="majorHAnsi"/>
                <w:sz w:val="21"/>
                <w:szCs w:val="21"/>
              </w:rPr>
              <w:t xml:space="preserve"> ou cahier de règles</w:t>
            </w:r>
            <w:bookmarkStart w:id="0" w:name="_GoBack"/>
            <w:bookmarkEnd w:id="0"/>
          </w:p>
        </w:tc>
      </w:tr>
      <w:tr w:rsidR="00B148DC" w:rsidRPr="00B148DC" w:rsidTr="0090679F">
        <w:trPr>
          <w:trHeight w:val="426"/>
        </w:trPr>
        <w:tc>
          <w:tcPr>
            <w:tcW w:w="1980" w:type="dxa"/>
            <w:vMerge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Calcul en ligne</w:t>
            </w:r>
          </w:p>
        </w:tc>
        <w:tc>
          <w:tcPr>
            <w:tcW w:w="4536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Cahier de brouillon + Cahier du jour</w:t>
            </w:r>
          </w:p>
        </w:tc>
        <w:tc>
          <w:tcPr>
            <w:tcW w:w="2268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//</w:t>
            </w:r>
          </w:p>
        </w:tc>
        <w:tc>
          <w:tcPr>
            <w:tcW w:w="3402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Plus pratique que l’ardoise</w:t>
            </w:r>
          </w:p>
        </w:tc>
      </w:tr>
      <w:tr w:rsidR="0090679F" w:rsidRPr="00B148DC" w:rsidTr="00DB27C6">
        <w:trPr>
          <w:trHeight w:val="356"/>
        </w:trPr>
        <w:tc>
          <w:tcPr>
            <w:tcW w:w="1980" w:type="dxa"/>
            <w:vAlign w:val="center"/>
          </w:tcPr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 xml:space="preserve">Histoire </w:t>
            </w:r>
          </w:p>
        </w:tc>
        <w:tc>
          <w:tcPr>
            <w:tcW w:w="2835" w:type="dxa"/>
            <w:vMerge w:val="restart"/>
            <w:vAlign w:val="center"/>
          </w:tcPr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Tous</w:t>
            </w:r>
          </w:p>
        </w:tc>
        <w:tc>
          <w:tcPr>
            <w:tcW w:w="4536" w:type="dxa"/>
            <w:vMerge w:val="restart"/>
            <w:vAlign w:val="center"/>
          </w:tcPr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 xml:space="preserve">Cahier petit format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avec onglets par sous-domaines</w:t>
            </w:r>
          </w:p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+ porte-vues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avec onglets pour les documents</w:t>
            </w:r>
          </w:p>
        </w:tc>
        <w:tc>
          <w:tcPr>
            <w:tcW w:w="2268" w:type="dxa"/>
            <w:vMerge w:val="restart"/>
            <w:vAlign w:val="center"/>
          </w:tcPr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 xml:space="preserve">Petit classeur avec intercalaires </w:t>
            </w:r>
          </w:p>
        </w:tc>
        <w:tc>
          <w:tcPr>
            <w:tcW w:w="3402" w:type="dxa"/>
            <w:vMerge w:val="restart"/>
            <w:vAlign w:val="center"/>
          </w:tcPr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L’EMC peut être couplé avec la géographie ou avec l’histoire.</w:t>
            </w:r>
          </w:p>
        </w:tc>
      </w:tr>
      <w:tr w:rsidR="0090679F" w:rsidRPr="00B148DC" w:rsidTr="00DB27C6">
        <w:trPr>
          <w:trHeight w:val="404"/>
        </w:trPr>
        <w:tc>
          <w:tcPr>
            <w:tcW w:w="1980" w:type="dxa"/>
            <w:vAlign w:val="center"/>
          </w:tcPr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Géographie</w:t>
            </w:r>
          </w:p>
        </w:tc>
        <w:tc>
          <w:tcPr>
            <w:tcW w:w="2835" w:type="dxa"/>
            <w:vMerge/>
            <w:vAlign w:val="center"/>
          </w:tcPr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536" w:type="dxa"/>
            <w:vMerge/>
            <w:vAlign w:val="center"/>
          </w:tcPr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0679F" w:rsidRPr="00B148DC" w:rsidTr="0090679F">
        <w:trPr>
          <w:trHeight w:val="424"/>
        </w:trPr>
        <w:tc>
          <w:tcPr>
            <w:tcW w:w="1980" w:type="dxa"/>
            <w:vAlign w:val="center"/>
          </w:tcPr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EMC</w:t>
            </w:r>
          </w:p>
        </w:tc>
        <w:tc>
          <w:tcPr>
            <w:tcW w:w="2835" w:type="dxa"/>
            <w:vMerge/>
            <w:vAlign w:val="center"/>
          </w:tcPr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536" w:type="dxa"/>
            <w:vMerge/>
            <w:vAlign w:val="center"/>
          </w:tcPr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0679F" w:rsidRPr="00B148DC" w:rsidTr="0090679F">
        <w:trPr>
          <w:trHeight w:val="415"/>
        </w:trPr>
        <w:tc>
          <w:tcPr>
            <w:tcW w:w="1980" w:type="dxa"/>
            <w:vAlign w:val="center"/>
          </w:tcPr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Sciences et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tech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536" w:type="dxa"/>
            <w:vMerge/>
            <w:vAlign w:val="center"/>
          </w:tcPr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90679F" w:rsidRPr="00B148DC" w:rsidRDefault="0090679F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148DC" w:rsidRPr="00B148DC" w:rsidTr="0090679F">
        <w:trPr>
          <w:trHeight w:val="446"/>
        </w:trPr>
        <w:tc>
          <w:tcPr>
            <w:tcW w:w="1980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PEAC</w:t>
            </w:r>
          </w:p>
        </w:tc>
        <w:tc>
          <w:tcPr>
            <w:tcW w:w="2835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Cahier des arts (petit format TP) ou porte-vues</w:t>
            </w:r>
          </w:p>
        </w:tc>
        <w:tc>
          <w:tcPr>
            <w:tcW w:w="2268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Portfolio PEAC</w:t>
            </w:r>
          </w:p>
        </w:tc>
        <w:tc>
          <w:tcPr>
            <w:tcW w:w="3402" w:type="dxa"/>
            <w:vAlign w:val="center"/>
          </w:tcPr>
          <w:p w:rsidR="00B148DC" w:rsidRPr="00B148DC" w:rsidRDefault="00B148DC" w:rsidP="00B148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0679F" w:rsidRPr="00B148DC" w:rsidTr="0090679F">
        <w:tc>
          <w:tcPr>
            <w:tcW w:w="1980" w:type="dxa"/>
            <w:vAlign w:val="center"/>
          </w:tcPr>
          <w:p w:rsidR="0090679F" w:rsidRPr="00B148DC" w:rsidRDefault="0090679F" w:rsidP="0090679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Langues vivantes étrangères</w:t>
            </w:r>
          </w:p>
        </w:tc>
        <w:tc>
          <w:tcPr>
            <w:tcW w:w="2835" w:type="dxa"/>
            <w:vAlign w:val="center"/>
          </w:tcPr>
          <w:p w:rsidR="0090679F" w:rsidRPr="00B148DC" w:rsidRDefault="0090679F" w:rsidP="0090679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90679F" w:rsidRPr="00EC002B" w:rsidRDefault="0090679F" w:rsidP="0090679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002B">
              <w:rPr>
                <w:rFonts w:asciiTheme="majorHAnsi" w:hAnsiTheme="majorHAnsi" w:cstheme="majorHAnsi"/>
                <w:sz w:val="21"/>
                <w:szCs w:val="21"/>
              </w:rPr>
              <w:t>Cahier petit format et des contenus dans la logique du cahier de vie en maternelle</w:t>
            </w:r>
          </w:p>
        </w:tc>
        <w:tc>
          <w:tcPr>
            <w:tcW w:w="2268" w:type="dxa"/>
            <w:vAlign w:val="center"/>
          </w:tcPr>
          <w:p w:rsidR="0090679F" w:rsidRPr="0090679F" w:rsidRDefault="0090679F" w:rsidP="0090679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 xml:space="preserve">Site en ligne du type </w:t>
            </w:r>
            <w:proofErr w:type="spellStart"/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Padlet</w:t>
            </w:r>
            <w:proofErr w:type="spellEnd"/>
          </w:p>
        </w:tc>
        <w:tc>
          <w:tcPr>
            <w:tcW w:w="3402" w:type="dxa"/>
            <w:vAlign w:val="center"/>
          </w:tcPr>
          <w:p w:rsidR="0090679F" w:rsidRPr="0090679F" w:rsidRDefault="0090679F" w:rsidP="0090679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0679F">
              <w:rPr>
                <w:rFonts w:asciiTheme="majorHAnsi" w:hAnsiTheme="majorHAnsi" w:cstheme="majorHAnsi"/>
                <w:sz w:val="21"/>
                <w:szCs w:val="21"/>
              </w:rPr>
              <w:t>Eviter la juxtaposition de fiches polycopiées</w:t>
            </w:r>
          </w:p>
        </w:tc>
      </w:tr>
      <w:tr w:rsidR="0090679F" w:rsidRPr="00B148DC" w:rsidTr="0090679F">
        <w:tc>
          <w:tcPr>
            <w:tcW w:w="1980" w:type="dxa"/>
            <w:vAlign w:val="center"/>
          </w:tcPr>
          <w:p w:rsidR="0090679F" w:rsidRPr="00B148DC" w:rsidRDefault="0090679F" w:rsidP="0090679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EMILE</w:t>
            </w:r>
          </w:p>
        </w:tc>
        <w:tc>
          <w:tcPr>
            <w:tcW w:w="7371" w:type="dxa"/>
            <w:gridSpan w:val="2"/>
            <w:vAlign w:val="center"/>
          </w:tcPr>
          <w:p w:rsidR="0090679F" w:rsidRPr="00B148DC" w:rsidRDefault="0090679F" w:rsidP="0090679F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Le même support que celui utilisé en français</w:t>
            </w:r>
          </w:p>
        </w:tc>
        <w:tc>
          <w:tcPr>
            <w:tcW w:w="2268" w:type="dxa"/>
            <w:vAlign w:val="center"/>
          </w:tcPr>
          <w:p w:rsidR="0090679F" w:rsidRPr="00B148DC" w:rsidRDefault="0090679F" w:rsidP="0090679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90679F" w:rsidRPr="00B148DC" w:rsidRDefault="0090679F" w:rsidP="0090679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sz w:val="21"/>
                <w:szCs w:val="21"/>
              </w:rPr>
              <w:t>Nécessité de continuité des progressions et des apprentissages</w:t>
            </w:r>
          </w:p>
        </w:tc>
      </w:tr>
      <w:tr w:rsidR="0090679F" w:rsidRPr="00B148DC" w:rsidTr="0090679F">
        <w:trPr>
          <w:trHeight w:val="508"/>
        </w:trPr>
        <w:tc>
          <w:tcPr>
            <w:tcW w:w="4815" w:type="dxa"/>
            <w:gridSpan w:val="2"/>
            <w:vAlign w:val="center"/>
          </w:tcPr>
          <w:p w:rsidR="0090679F" w:rsidRPr="00B148DC" w:rsidRDefault="0090679F" w:rsidP="0090679F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b/>
                <w:sz w:val="21"/>
                <w:szCs w:val="21"/>
              </w:rPr>
              <w:t>NOMBRE MAXIMUM DE SUPPORTS</w:t>
            </w:r>
          </w:p>
        </w:tc>
        <w:tc>
          <w:tcPr>
            <w:tcW w:w="4536" w:type="dxa"/>
            <w:vAlign w:val="center"/>
          </w:tcPr>
          <w:p w:rsidR="0090679F" w:rsidRPr="00B148DC" w:rsidRDefault="0090679F" w:rsidP="0090679F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B148DC">
              <w:rPr>
                <w:rFonts w:asciiTheme="majorHAnsi" w:hAnsiTheme="majorHAnsi" w:cstheme="majorHAnsi"/>
                <w:b/>
                <w:sz w:val="21"/>
                <w:szCs w:val="21"/>
              </w:rPr>
              <w:t>10</w:t>
            </w:r>
          </w:p>
        </w:tc>
        <w:tc>
          <w:tcPr>
            <w:tcW w:w="2268" w:type="dxa"/>
          </w:tcPr>
          <w:p w:rsidR="0090679F" w:rsidRPr="00B148DC" w:rsidRDefault="0090679F" w:rsidP="0090679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402" w:type="dxa"/>
          </w:tcPr>
          <w:p w:rsidR="0090679F" w:rsidRPr="00B148DC" w:rsidRDefault="0090679F" w:rsidP="0090679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D547D0" w:rsidRPr="001065FD" w:rsidRDefault="00D547D0" w:rsidP="004C0415">
      <w:pPr>
        <w:rPr>
          <w:sz w:val="2"/>
        </w:rPr>
      </w:pPr>
    </w:p>
    <w:sectPr w:rsidR="00D547D0" w:rsidRPr="001065FD" w:rsidSect="001065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C0"/>
    <w:rsid w:val="00024036"/>
    <w:rsid w:val="000A5400"/>
    <w:rsid w:val="000C2B8E"/>
    <w:rsid w:val="0010409F"/>
    <w:rsid w:val="001065FD"/>
    <w:rsid w:val="00170966"/>
    <w:rsid w:val="001A35D4"/>
    <w:rsid w:val="001B14C0"/>
    <w:rsid w:val="00216880"/>
    <w:rsid w:val="00217BBF"/>
    <w:rsid w:val="002358CE"/>
    <w:rsid w:val="00274157"/>
    <w:rsid w:val="002A3204"/>
    <w:rsid w:val="002B26DA"/>
    <w:rsid w:val="002F261B"/>
    <w:rsid w:val="00315AD8"/>
    <w:rsid w:val="00324A91"/>
    <w:rsid w:val="0034001A"/>
    <w:rsid w:val="00354A58"/>
    <w:rsid w:val="003D77E6"/>
    <w:rsid w:val="003F0AC2"/>
    <w:rsid w:val="004C0415"/>
    <w:rsid w:val="004D543C"/>
    <w:rsid w:val="0056404E"/>
    <w:rsid w:val="005D563E"/>
    <w:rsid w:val="0075238C"/>
    <w:rsid w:val="008B37C0"/>
    <w:rsid w:val="008E27EC"/>
    <w:rsid w:val="0090679F"/>
    <w:rsid w:val="00925243"/>
    <w:rsid w:val="009958A5"/>
    <w:rsid w:val="00A5126E"/>
    <w:rsid w:val="00AA01A9"/>
    <w:rsid w:val="00AC4695"/>
    <w:rsid w:val="00B148DC"/>
    <w:rsid w:val="00C14FEE"/>
    <w:rsid w:val="00C47498"/>
    <w:rsid w:val="00D547D0"/>
    <w:rsid w:val="00D72558"/>
    <w:rsid w:val="00D729CD"/>
    <w:rsid w:val="00E52110"/>
    <w:rsid w:val="00E6298D"/>
    <w:rsid w:val="00E84954"/>
    <w:rsid w:val="00EC002B"/>
    <w:rsid w:val="00EE5558"/>
    <w:rsid w:val="00F204C8"/>
    <w:rsid w:val="00F24514"/>
    <w:rsid w:val="00F4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2823-2021-4A20-BD82-9078337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E55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E55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45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2451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DOUMAX</dc:creator>
  <cp:keywords/>
  <dc:description/>
  <cp:lastModifiedBy>Utilisateur</cp:lastModifiedBy>
  <cp:revision>6</cp:revision>
  <dcterms:created xsi:type="dcterms:W3CDTF">2018-12-17T08:03:00Z</dcterms:created>
  <dcterms:modified xsi:type="dcterms:W3CDTF">2018-12-21T07:00:00Z</dcterms:modified>
</cp:coreProperties>
</file>